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1F" w:rsidRPr="00101F17" w:rsidRDefault="007E7B1F" w:rsidP="00101F17">
      <w:pPr>
        <w:tabs>
          <w:tab w:val="left" w:pos="7952"/>
        </w:tabs>
        <w:jc w:val="center"/>
        <w:rPr>
          <w:b/>
          <w:color w:val="FF0000"/>
          <w:sz w:val="32"/>
        </w:rPr>
      </w:pPr>
      <w:r w:rsidRPr="00101F17">
        <w:rPr>
          <w:b/>
          <w:color w:val="FF0000"/>
          <w:sz w:val="32"/>
        </w:rPr>
        <w:t>Annexure</w:t>
      </w:r>
      <w:r w:rsidR="00101F17">
        <w:rPr>
          <w:b/>
          <w:color w:val="FF0000"/>
          <w:sz w:val="32"/>
        </w:rPr>
        <w:t xml:space="preserve"> -</w:t>
      </w:r>
      <w:r w:rsidRPr="00101F17">
        <w:rPr>
          <w:b/>
          <w:color w:val="FF0000"/>
          <w:sz w:val="32"/>
        </w:rPr>
        <w:t xml:space="preserve"> IIA</w:t>
      </w:r>
    </w:p>
    <w:p w:rsidR="0092733C" w:rsidRDefault="0092733C" w:rsidP="0092733C">
      <w:pPr>
        <w:pStyle w:val="BodyText"/>
        <w:spacing w:after="0"/>
        <w:jc w:val="center"/>
      </w:pPr>
      <w:r>
        <w:rPr>
          <w:rStyle w:val="Bold"/>
          <w:sz w:val="26"/>
          <w:szCs w:val="26"/>
        </w:rPr>
        <w:t>Sector Wise Requirements of Functional Areas</w:t>
      </w:r>
    </w:p>
    <w:p w:rsidR="0092733C" w:rsidRDefault="0092733C" w:rsidP="00156933">
      <w:pPr>
        <w:pStyle w:val="BodyText"/>
        <w:tabs>
          <w:tab w:val="left" w:pos="709"/>
        </w:tabs>
        <w:ind w:left="709"/>
      </w:pPr>
      <w:r>
        <w:t>Sectors have been clubbed in 7 groups rationalizing the requirements of the Functional Area Experts (FAEs). For each group, some functional areas (FAs) have been identified as ‘core’ which are crucial for the sectors in the group. The core FAs are to be covered by in-house experts. In addition, to theses these core FAs, for each group some functional areas have been identified as ‘significant’ whose inputs are also required but these can be covered by empanelled experts. This has been done to ensure that expertise in all required functional area available with the consultant, without unduly loading it.</w:t>
      </w:r>
    </w:p>
    <w:tbl>
      <w:tblPr>
        <w:tblStyle w:val="TableGrid"/>
        <w:tblW w:w="4585" w:type="pct"/>
        <w:tblInd w:w="817" w:type="dxa"/>
        <w:tblLook w:val="04A0" w:firstRow="1" w:lastRow="0" w:firstColumn="1" w:lastColumn="0" w:noHBand="0" w:noVBand="1"/>
      </w:tblPr>
      <w:tblGrid>
        <w:gridCol w:w="789"/>
        <w:gridCol w:w="2653"/>
        <w:gridCol w:w="2086"/>
        <w:gridCol w:w="1689"/>
        <w:gridCol w:w="2467"/>
      </w:tblGrid>
      <w:tr w:rsidR="00156933" w:rsidRPr="00B14527" w:rsidTr="00BA1B3A">
        <w:tc>
          <w:tcPr>
            <w:tcW w:w="407" w:type="pct"/>
            <w:shd w:val="clear" w:color="auto" w:fill="E5B8B7" w:themeFill="accent2" w:themeFillTint="66"/>
            <w:vAlign w:val="center"/>
          </w:tcPr>
          <w:p w:rsidR="007B3221" w:rsidRPr="00B14527" w:rsidRDefault="007B3221" w:rsidP="00BA1B3A">
            <w:pPr>
              <w:jc w:val="center"/>
              <w:rPr>
                <w:b/>
              </w:rPr>
            </w:pPr>
            <w:r w:rsidRPr="00B14527">
              <w:rPr>
                <w:b/>
              </w:rPr>
              <w:t>Group</w:t>
            </w:r>
          </w:p>
          <w:p w:rsidR="007B3221" w:rsidRPr="00B14527" w:rsidRDefault="007B3221" w:rsidP="00BA1B3A">
            <w:pPr>
              <w:jc w:val="center"/>
              <w:rPr>
                <w:b/>
              </w:rPr>
            </w:pPr>
            <w:r w:rsidRPr="00B14527">
              <w:rPr>
                <w:b/>
              </w:rPr>
              <w:t>No.</w:t>
            </w:r>
          </w:p>
        </w:tc>
        <w:tc>
          <w:tcPr>
            <w:tcW w:w="1370" w:type="pct"/>
            <w:shd w:val="clear" w:color="auto" w:fill="E5B8B7" w:themeFill="accent2" w:themeFillTint="66"/>
            <w:vAlign w:val="center"/>
          </w:tcPr>
          <w:p w:rsidR="007B3221" w:rsidRPr="00B14527" w:rsidRDefault="007B3221" w:rsidP="00BA1B3A">
            <w:pPr>
              <w:jc w:val="center"/>
              <w:rPr>
                <w:b/>
              </w:rPr>
            </w:pPr>
            <w:r w:rsidRPr="00B14527">
              <w:rPr>
                <w:b/>
              </w:rPr>
              <w:t>Sector group</w:t>
            </w:r>
          </w:p>
        </w:tc>
        <w:tc>
          <w:tcPr>
            <w:tcW w:w="1077" w:type="pct"/>
            <w:shd w:val="clear" w:color="auto" w:fill="E5B8B7" w:themeFill="accent2" w:themeFillTint="66"/>
            <w:vAlign w:val="center"/>
          </w:tcPr>
          <w:p w:rsidR="00156933" w:rsidRDefault="00156933" w:rsidP="00BA1B3A">
            <w:pPr>
              <w:jc w:val="center"/>
              <w:rPr>
                <w:b/>
              </w:rPr>
            </w:pPr>
            <w:r>
              <w:rPr>
                <w:b/>
              </w:rPr>
              <w:t xml:space="preserve">Sector </w:t>
            </w:r>
            <w:r w:rsidR="00701F8D">
              <w:rPr>
                <w:b/>
              </w:rPr>
              <w:t>n</w:t>
            </w:r>
            <w:r w:rsidR="007B3221" w:rsidRPr="00B14527">
              <w:rPr>
                <w:b/>
              </w:rPr>
              <w:t>o. as per</w:t>
            </w:r>
          </w:p>
          <w:p w:rsidR="007B3221" w:rsidRPr="00B14527" w:rsidRDefault="007B3221" w:rsidP="00BA1B3A">
            <w:pPr>
              <w:jc w:val="center"/>
              <w:rPr>
                <w:b/>
              </w:rPr>
            </w:pPr>
            <w:r w:rsidRPr="00B14527">
              <w:rPr>
                <w:b/>
              </w:rPr>
              <w:t>Annex</w:t>
            </w:r>
            <w:r w:rsidR="00156933">
              <w:rPr>
                <w:b/>
              </w:rPr>
              <w:t>ure</w:t>
            </w:r>
            <w:r w:rsidRPr="00B14527">
              <w:rPr>
                <w:b/>
              </w:rPr>
              <w:t xml:space="preserve"> II</w:t>
            </w:r>
          </w:p>
        </w:tc>
        <w:tc>
          <w:tcPr>
            <w:tcW w:w="872" w:type="pct"/>
            <w:shd w:val="clear" w:color="auto" w:fill="E5B8B7" w:themeFill="accent2" w:themeFillTint="66"/>
            <w:vAlign w:val="center"/>
          </w:tcPr>
          <w:p w:rsidR="007B3221" w:rsidRDefault="007B3221" w:rsidP="00701F8D">
            <w:pPr>
              <w:jc w:val="center"/>
              <w:rPr>
                <w:b/>
              </w:rPr>
            </w:pPr>
            <w:r w:rsidRPr="00B14527">
              <w:rPr>
                <w:b/>
              </w:rPr>
              <w:t xml:space="preserve">Core </w:t>
            </w:r>
            <w:r w:rsidR="00701F8D">
              <w:rPr>
                <w:b/>
              </w:rPr>
              <w:t>f</w:t>
            </w:r>
            <w:r w:rsidR="00156933">
              <w:rPr>
                <w:b/>
              </w:rPr>
              <w:t>unctional areas</w:t>
            </w:r>
          </w:p>
          <w:p w:rsidR="00701F8D" w:rsidRPr="00B14527" w:rsidRDefault="00701F8D" w:rsidP="00701F8D">
            <w:pPr>
              <w:jc w:val="center"/>
              <w:rPr>
                <w:b/>
              </w:rPr>
            </w:pPr>
            <w:r>
              <w:rPr>
                <w:b/>
              </w:rPr>
              <w:t>(In-house)</w:t>
            </w:r>
          </w:p>
        </w:tc>
        <w:tc>
          <w:tcPr>
            <w:tcW w:w="1274" w:type="pct"/>
            <w:shd w:val="clear" w:color="auto" w:fill="E5B8B7" w:themeFill="accent2" w:themeFillTint="66"/>
            <w:vAlign w:val="center"/>
          </w:tcPr>
          <w:p w:rsidR="00701F8D" w:rsidRDefault="00156933" w:rsidP="00BA1B3A">
            <w:pPr>
              <w:jc w:val="center"/>
              <w:rPr>
                <w:b/>
                <w:bCs/>
                <w:lang w:val="en-US"/>
              </w:rPr>
            </w:pPr>
            <w:r>
              <w:rPr>
                <w:b/>
              </w:rPr>
              <w:t xml:space="preserve">Significant functional </w:t>
            </w:r>
            <w:r w:rsidRPr="00156933">
              <w:rPr>
                <w:b/>
                <w:bCs/>
                <w:lang w:val="en-US"/>
              </w:rPr>
              <w:t xml:space="preserve">areas </w:t>
            </w:r>
          </w:p>
          <w:p w:rsidR="007B3221" w:rsidRPr="00B14527" w:rsidRDefault="00156933" w:rsidP="00BA1B3A">
            <w:pPr>
              <w:jc w:val="center"/>
              <w:rPr>
                <w:b/>
              </w:rPr>
            </w:pPr>
            <w:r w:rsidRPr="00156933">
              <w:rPr>
                <w:b/>
                <w:bCs/>
                <w:lang w:val="en-US"/>
              </w:rPr>
              <w:t>(In-house/empanelled)</w:t>
            </w:r>
          </w:p>
        </w:tc>
      </w:tr>
      <w:tr w:rsidR="00156933" w:rsidRPr="00B14527" w:rsidTr="00BA1B3A">
        <w:tc>
          <w:tcPr>
            <w:tcW w:w="407" w:type="pct"/>
            <w:vAlign w:val="center"/>
          </w:tcPr>
          <w:p w:rsidR="007B3221" w:rsidRPr="00B14527" w:rsidRDefault="007B3221" w:rsidP="007B3221">
            <w:pPr>
              <w:pStyle w:val="ListParagraph"/>
              <w:numPr>
                <w:ilvl w:val="0"/>
                <w:numId w:val="1"/>
              </w:numPr>
              <w:jc w:val="center"/>
            </w:pPr>
          </w:p>
        </w:tc>
        <w:tc>
          <w:tcPr>
            <w:tcW w:w="1370" w:type="pct"/>
            <w:vAlign w:val="center"/>
          </w:tcPr>
          <w:p w:rsidR="007B3221" w:rsidRPr="00B14527" w:rsidRDefault="007B3221" w:rsidP="007B3221">
            <w:r w:rsidRPr="00B14527">
              <w:t>Manufacturing industries</w:t>
            </w:r>
          </w:p>
        </w:tc>
        <w:tc>
          <w:tcPr>
            <w:tcW w:w="1077" w:type="pct"/>
            <w:vAlign w:val="center"/>
          </w:tcPr>
          <w:p w:rsidR="007B3221" w:rsidRPr="00B14527" w:rsidRDefault="007B3221" w:rsidP="007B3221">
            <w:r w:rsidRPr="00B14527">
              <w:t>8, 10, 11, 12, 13, 14, 15, 16, 17, 18, 1</w:t>
            </w:r>
            <w:r w:rsidR="000B7032" w:rsidRPr="00B14527">
              <w:t>9, 20, 21, 22, 23, 24, 25, 40 (i</w:t>
            </w:r>
            <w:r w:rsidRPr="00B14527">
              <w:t>, ii, iii, v)</w:t>
            </w:r>
          </w:p>
        </w:tc>
        <w:tc>
          <w:tcPr>
            <w:tcW w:w="872" w:type="pct"/>
            <w:vAlign w:val="center"/>
          </w:tcPr>
          <w:p w:rsidR="007B3221" w:rsidRPr="00B14527" w:rsidRDefault="007B3221" w:rsidP="00FF10E9">
            <w:r w:rsidRPr="00B14527">
              <w:t>AP, WP</w:t>
            </w:r>
          </w:p>
        </w:tc>
        <w:tc>
          <w:tcPr>
            <w:tcW w:w="1274" w:type="pct"/>
            <w:vAlign w:val="center"/>
          </w:tcPr>
          <w:p w:rsidR="007B3221" w:rsidRPr="00B14527" w:rsidRDefault="007B3221" w:rsidP="00105A1C">
            <w:r w:rsidRPr="00B14527">
              <w:t xml:space="preserve">LU, Noise, EB, SE, HG, </w:t>
            </w:r>
            <w:r w:rsidR="00B60C31" w:rsidRPr="00B14527">
              <w:t>HW</w:t>
            </w:r>
            <w:r w:rsidR="00105A1C" w:rsidRPr="00B14527">
              <w:rPr>
                <w:vertAlign w:val="superscript"/>
              </w:rPr>
              <w:t>1</w:t>
            </w:r>
            <w:r w:rsidRPr="00B14527">
              <w:t>, RH</w:t>
            </w:r>
            <w:r w:rsidR="00B60C31" w:rsidRPr="00B14527">
              <w:t>, AQ</w:t>
            </w:r>
            <w:r w:rsidR="00B60C31" w:rsidRPr="00B14527">
              <w:rPr>
                <w:vertAlign w:val="superscript"/>
              </w:rPr>
              <w:t>6</w:t>
            </w:r>
          </w:p>
        </w:tc>
      </w:tr>
      <w:tr w:rsidR="00156933" w:rsidRPr="00B14527" w:rsidTr="00BA1B3A">
        <w:tc>
          <w:tcPr>
            <w:tcW w:w="407" w:type="pct"/>
            <w:vAlign w:val="center"/>
          </w:tcPr>
          <w:p w:rsidR="007B3221" w:rsidRPr="00B14527" w:rsidRDefault="007B3221" w:rsidP="007B3221">
            <w:pPr>
              <w:pStyle w:val="ListParagraph"/>
              <w:numPr>
                <w:ilvl w:val="0"/>
                <w:numId w:val="1"/>
              </w:numPr>
              <w:jc w:val="center"/>
            </w:pPr>
          </w:p>
        </w:tc>
        <w:tc>
          <w:tcPr>
            <w:tcW w:w="1370" w:type="pct"/>
            <w:vAlign w:val="center"/>
          </w:tcPr>
          <w:p w:rsidR="007B3221" w:rsidRPr="00B14527" w:rsidRDefault="007B3221" w:rsidP="007B3221">
            <w:r w:rsidRPr="00B14527">
              <w:t>Power, Cement</w:t>
            </w:r>
          </w:p>
        </w:tc>
        <w:tc>
          <w:tcPr>
            <w:tcW w:w="1077" w:type="pct"/>
            <w:vAlign w:val="center"/>
          </w:tcPr>
          <w:p w:rsidR="007B3221" w:rsidRPr="00B14527" w:rsidRDefault="007B3221" w:rsidP="007B3221">
            <w:r w:rsidRPr="00B14527">
              <w:t>4</w:t>
            </w:r>
            <w:r w:rsidR="007B728B" w:rsidRPr="00B14527">
              <w:rPr>
                <w:vertAlign w:val="superscript"/>
              </w:rPr>
              <w:t>7</w:t>
            </w:r>
            <w:r w:rsidRPr="00B14527">
              <w:t>, 9</w:t>
            </w:r>
            <w:r w:rsidR="007B728B" w:rsidRPr="00B14527">
              <w:rPr>
                <w:vertAlign w:val="superscript"/>
              </w:rPr>
              <w:t>7</w:t>
            </w:r>
            <w:r w:rsidRPr="00B14527">
              <w:t>, 40 (iv)</w:t>
            </w:r>
          </w:p>
        </w:tc>
        <w:tc>
          <w:tcPr>
            <w:tcW w:w="872" w:type="pct"/>
            <w:vAlign w:val="center"/>
          </w:tcPr>
          <w:p w:rsidR="007B3221" w:rsidRPr="00B14527" w:rsidRDefault="007B3221" w:rsidP="007B3221">
            <w:r w:rsidRPr="00B14527">
              <w:t>AP, AQ</w:t>
            </w:r>
            <w:r w:rsidR="00DD17F5" w:rsidRPr="00B14527">
              <w:rPr>
                <w:vertAlign w:val="superscript"/>
              </w:rPr>
              <w:t>7</w:t>
            </w:r>
            <w:r w:rsidRPr="00B14527">
              <w:t xml:space="preserve"> </w:t>
            </w:r>
          </w:p>
        </w:tc>
        <w:tc>
          <w:tcPr>
            <w:tcW w:w="1274" w:type="pct"/>
            <w:vAlign w:val="center"/>
          </w:tcPr>
          <w:p w:rsidR="007B3221" w:rsidRPr="00B14527" w:rsidRDefault="007B3221" w:rsidP="00D31BBE">
            <w:r w:rsidRPr="00B14527">
              <w:t xml:space="preserve">LU, WP, EB, SE, Noise, </w:t>
            </w:r>
            <w:r w:rsidR="00D31BBE" w:rsidRPr="00B14527">
              <w:t>HW(</w:t>
            </w:r>
            <w:r w:rsidRPr="00B14527">
              <w:t>ISW</w:t>
            </w:r>
            <w:r w:rsidR="00D31BBE" w:rsidRPr="00B14527">
              <w:t>)</w:t>
            </w:r>
            <w:r w:rsidR="002E2AC0" w:rsidRPr="00B14527">
              <w:rPr>
                <w:vertAlign w:val="superscript"/>
              </w:rPr>
              <w:t>2</w:t>
            </w:r>
            <w:r w:rsidRPr="00B14527">
              <w:t>,</w:t>
            </w:r>
            <w:r w:rsidR="008A2595" w:rsidRPr="00B14527">
              <w:t xml:space="preserve"> </w:t>
            </w:r>
            <w:r w:rsidRPr="00B14527">
              <w:t>RH</w:t>
            </w:r>
            <w:r w:rsidR="001E02B2" w:rsidRPr="00B14527">
              <w:t xml:space="preserve"> </w:t>
            </w:r>
          </w:p>
        </w:tc>
      </w:tr>
      <w:tr w:rsidR="00156933" w:rsidRPr="00B14527" w:rsidTr="00BA1B3A">
        <w:tc>
          <w:tcPr>
            <w:tcW w:w="407" w:type="pct"/>
            <w:vAlign w:val="center"/>
          </w:tcPr>
          <w:p w:rsidR="007B3221" w:rsidRPr="00B14527" w:rsidRDefault="007B3221" w:rsidP="007B3221">
            <w:pPr>
              <w:pStyle w:val="ListParagraph"/>
              <w:numPr>
                <w:ilvl w:val="0"/>
                <w:numId w:val="1"/>
              </w:numPr>
              <w:jc w:val="center"/>
            </w:pPr>
          </w:p>
        </w:tc>
        <w:tc>
          <w:tcPr>
            <w:tcW w:w="1370" w:type="pct"/>
            <w:vAlign w:val="center"/>
          </w:tcPr>
          <w:p w:rsidR="007B3221" w:rsidRPr="00B14527" w:rsidRDefault="007B3221" w:rsidP="007B3221">
            <w:r w:rsidRPr="00B14527">
              <w:t>Mining, River valley</w:t>
            </w:r>
          </w:p>
        </w:tc>
        <w:tc>
          <w:tcPr>
            <w:tcW w:w="1077" w:type="pct"/>
            <w:vAlign w:val="center"/>
          </w:tcPr>
          <w:p w:rsidR="007B3221" w:rsidRPr="00B14527" w:rsidRDefault="007B3221" w:rsidP="007B3221">
            <w:r w:rsidRPr="00B14527">
              <w:t>1</w:t>
            </w:r>
            <w:r w:rsidR="00151138" w:rsidRPr="00B14527">
              <w:rPr>
                <w:vertAlign w:val="superscript"/>
              </w:rPr>
              <w:t>8</w:t>
            </w:r>
            <w:r w:rsidRPr="00B14527">
              <w:t>, 3</w:t>
            </w:r>
          </w:p>
        </w:tc>
        <w:tc>
          <w:tcPr>
            <w:tcW w:w="872" w:type="pct"/>
            <w:vAlign w:val="center"/>
          </w:tcPr>
          <w:p w:rsidR="007B3221" w:rsidRPr="00B14527" w:rsidRDefault="007B3221" w:rsidP="007B3221">
            <w:r w:rsidRPr="00B14527">
              <w:t>WP, SE, EB</w:t>
            </w:r>
          </w:p>
        </w:tc>
        <w:tc>
          <w:tcPr>
            <w:tcW w:w="1274" w:type="pct"/>
            <w:vAlign w:val="center"/>
          </w:tcPr>
          <w:p w:rsidR="007B3221" w:rsidRPr="00B14527" w:rsidRDefault="007B3221" w:rsidP="00D7516A">
            <w:r w:rsidRPr="00B14527">
              <w:t xml:space="preserve">LU, AP, AQ, NV, Geo, HG, SC, </w:t>
            </w:r>
            <w:r w:rsidR="00FF10E9" w:rsidRPr="00B14527">
              <w:t>HW</w:t>
            </w:r>
            <w:r w:rsidR="00D7516A" w:rsidRPr="00B14527">
              <w:rPr>
                <w:vertAlign w:val="superscript"/>
              </w:rPr>
              <w:t>1</w:t>
            </w:r>
            <w:r w:rsidRPr="00B14527">
              <w:t>, RH</w:t>
            </w:r>
          </w:p>
        </w:tc>
      </w:tr>
      <w:tr w:rsidR="00156933" w:rsidRPr="00B14527" w:rsidTr="00BA1B3A">
        <w:tc>
          <w:tcPr>
            <w:tcW w:w="407" w:type="pct"/>
            <w:vAlign w:val="center"/>
          </w:tcPr>
          <w:p w:rsidR="007B3221" w:rsidRPr="00B14527" w:rsidRDefault="007B3221" w:rsidP="007B3221">
            <w:pPr>
              <w:pStyle w:val="ListParagraph"/>
              <w:numPr>
                <w:ilvl w:val="0"/>
                <w:numId w:val="1"/>
              </w:numPr>
              <w:jc w:val="center"/>
            </w:pPr>
          </w:p>
        </w:tc>
        <w:tc>
          <w:tcPr>
            <w:tcW w:w="1370" w:type="pct"/>
            <w:vAlign w:val="center"/>
          </w:tcPr>
          <w:p w:rsidR="00101F17" w:rsidRDefault="007B3221" w:rsidP="007B3221">
            <w:r w:rsidRPr="00B14527">
              <w:t xml:space="preserve">Coal washery, </w:t>
            </w:r>
          </w:p>
          <w:p w:rsidR="007B3221" w:rsidRPr="00B14527" w:rsidRDefault="007B3221" w:rsidP="007B3221">
            <w:r w:rsidRPr="00B14527">
              <w:t>Mineral beneficiation</w:t>
            </w:r>
          </w:p>
        </w:tc>
        <w:tc>
          <w:tcPr>
            <w:tcW w:w="1077" w:type="pct"/>
            <w:vAlign w:val="center"/>
          </w:tcPr>
          <w:p w:rsidR="007B3221" w:rsidRPr="00B14527" w:rsidRDefault="007B3221" w:rsidP="007B3221">
            <w:r w:rsidRPr="00B14527">
              <w:t>6, 7</w:t>
            </w:r>
          </w:p>
        </w:tc>
        <w:tc>
          <w:tcPr>
            <w:tcW w:w="872" w:type="pct"/>
            <w:vAlign w:val="center"/>
          </w:tcPr>
          <w:p w:rsidR="007B3221" w:rsidRPr="00B14527" w:rsidRDefault="00D73BEC" w:rsidP="005F049C">
            <w:r w:rsidRPr="00B14527">
              <w:t>AP, WP</w:t>
            </w:r>
            <w:r w:rsidR="008A2595" w:rsidRPr="00B14527">
              <w:t xml:space="preserve"> </w:t>
            </w:r>
          </w:p>
        </w:tc>
        <w:tc>
          <w:tcPr>
            <w:tcW w:w="1274" w:type="pct"/>
            <w:vAlign w:val="center"/>
          </w:tcPr>
          <w:p w:rsidR="007B3221" w:rsidRPr="00B14527" w:rsidRDefault="007B3221" w:rsidP="0050638B">
            <w:r w:rsidRPr="00B14527">
              <w:t>LU, AQ, EB, Geo, SE, RH, HW</w:t>
            </w:r>
            <w:r w:rsidR="0050638B" w:rsidRPr="00B14527">
              <w:rPr>
                <w:vertAlign w:val="superscript"/>
              </w:rPr>
              <w:t>3</w:t>
            </w:r>
          </w:p>
        </w:tc>
      </w:tr>
      <w:tr w:rsidR="00156933" w:rsidRPr="00B14527" w:rsidTr="00BA1B3A">
        <w:tc>
          <w:tcPr>
            <w:tcW w:w="407" w:type="pct"/>
            <w:vAlign w:val="center"/>
          </w:tcPr>
          <w:p w:rsidR="007B3221" w:rsidRPr="00B14527" w:rsidRDefault="007B3221" w:rsidP="007B3221">
            <w:pPr>
              <w:pStyle w:val="ListParagraph"/>
              <w:numPr>
                <w:ilvl w:val="0"/>
                <w:numId w:val="1"/>
              </w:numPr>
              <w:jc w:val="center"/>
            </w:pPr>
          </w:p>
        </w:tc>
        <w:tc>
          <w:tcPr>
            <w:tcW w:w="1370" w:type="pct"/>
            <w:vAlign w:val="center"/>
          </w:tcPr>
          <w:p w:rsidR="007B3221" w:rsidRPr="00B14527" w:rsidRDefault="007B3221" w:rsidP="007B3221">
            <w:r w:rsidRPr="00B14527">
              <w:t>Infrastructure, Oil &amp; gas exploration (offshore, on-shore)</w:t>
            </w:r>
          </w:p>
        </w:tc>
        <w:tc>
          <w:tcPr>
            <w:tcW w:w="1077" w:type="pct"/>
            <w:vAlign w:val="center"/>
          </w:tcPr>
          <w:p w:rsidR="007B3221" w:rsidRPr="00B14527" w:rsidRDefault="007B3221" w:rsidP="007B3221">
            <w:r w:rsidRPr="00B14527">
              <w:t>2, 27, 29</w:t>
            </w:r>
            <w:r w:rsidR="00151138" w:rsidRPr="00B14527">
              <w:rPr>
                <w:vertAlign w:val="superscript"/>
              </w:rPr>
              <w:t>8</w:t>
            </w:r>
            <w:r w:rsidRPr="00B14527">
              <w:t>, 31, 33, 34</w:t>
            </w:r>
            <w:r w:rsidR="00151138" w:rsidRPr="00B14527">
              <w:rPr>
                <w:vertAlign w:val="superscript"/>
              </w:rPr>
              <w:t>8</w:t>
            </w:r>
            <w:r w:rsidRPr="00B14527">
              <w:t>, 35</w:t>
            </w:r>
          </w:p>
        </w:tc>
        <w:tc>
          <w:tcPr>
            <w:tcW w:w="872" w:type="pct"/>
            <w:vAlign w:val="center"/>
          </w:tcPr>
          <w:p w:rsidR="007B3221" w:rsidRPr="00B14527" w:rsidRDefault="007B3221" w:rsidP="007B3221">
            <w:r w:rsidRPr="00B14527">
              <w:t>WP, EB, SE</w:t>
            </w:r>
            <w:r w:rsidR="001E02B2" w:rsidRPr="00B14527">
              <w:t xml:space="preserve"> </w:t>
            </w:r>
          </w:p>
        </w:tc>
        <w:tc>
          <w:tcPr>
            <w:tcW w:w="1274" w:type="pct"/>
            <w:vAlign w:val="center"/>
          </w:tcPr>
          <w:p w:rsidR="007B3221" w:rsidRPr="00B14527" w:rsidRDefault="007B3221" w:rsidP="007B3221">
            <w:r w:rsidRPr="00B14527">
              <w:t>LU, AP, AQ, NV, SC, SHW, HG, RH</w:t>
            </w:r>
          </w:p>
        </w:tc>
      </w:tr>
      <w:tr w:rsidR="00156933" w:rsidRPr="00B14527" w:rsidTr="00BA1B3A">
        <w:tc>
          <w:tcPr>
            <w:tcW w:w="407" w:type="pct"/>
            <w:vAlign w:val="center"/>
          </w:tcPr>
          <w:p w:rsidR="007B3221" w:rsidRPr="00B14527" w:rsidRDefault="007B3221" w:rsidP="007B3221">
            <w:pPr>
              <w:pStyle w:val="ListParagraph"/>
              <w:numPr>
                <w:ilvl w:val="0"/>
                <w:numId w:val="1"/>
              </w:numPr>
              <w:jc w:val="center"/>
            </w:pPr>
          </w:p>
        </w:tc>
        <w:tc>
          <w:tcPr>
            <w:tcW w:w="1370" w:type="pct"/>
            <w:vAlign w:val="center"/>
          </w:tcPr>
          <w:p w:rsidR="007B3221" w:rsidRPr="00B14527" w:rsidRDefault="007B3221" w:rsidP="007B3221">
            <w:r w:rsidRPr="00B14527">
              <w:t>Infrastructure services</w:t>
            </w:r>
          </w:p>
        </w:tc>
        <w:tc>
          <w:tcPr>
            <w:tcW w:w="1077" w:type="pct"/>
            <w:vAlign w:val="center"/>
          </w:tcPr>
          <w:p w:rsidR="007B3221" w:rsidRPr="00B14527" w:rsidRDefault="00DA6DC3" w:rsidP="008E175A">
            <w:r w:rsidRPr="00B14527">
              <w:t>28, 30,</w:t>
            </w:r>
            <w:r w:rsidR="005D529F" w:rsidRPr="00B14527">
              <w:t xml:space="preserve"> 32</w:t>
            </w:r>
            <w:r w:rsidR="008E175A" w:rsidRPr="00B14527">
              <w:t>,</w:t>
            </w:r>
            <w:r w:rsidR="001E02B2" w:rsidRPr="00B14527">
              <w:t xml:space="preserve"> 32A</w:t>
            </w:r>
            <w:r w:rsidR="002F5808" w:rsidRPr="00B14527">
              <w:rPr>
                <w:vertAlign w:val="superscript"/>
              </w:rPr>
              <w:t>4</w:t>
            </w:r>
            <w:r w:rsidR="005D529F" w:rsidRPr="00B14527">
              <w:t xml:space="preserve">, </w:t>
            </w:r>
            <w:r w:rsidR="007B3221" w:rsidRPr="00B14527">
              <w:t>36, 37</w:t>
            </w:r>
          </w:p>
        </w:tc>
        <w:tc>
          <w:tcPr>
            <w:tcW w:w="872" w:type="pct"/>
            <w:vAlign w:val="center"/>
          </w:tcPr>
          <w:p w:rsidR="007B3221" w:rsidRPr="00B14527" w:rsidRDefault="007B3221" w:rsidP="00FB59D5">
            <w:r w:rsidRPr="00B14527">
              <w:t>SHW</w:t>
            </w:r>
            <w:r w:rsidR="00FB59D5" w:rsidRPr="00B14527">
              <w:t>,</w:t>
            </w:r>
            <w:r w:rsidRPr="00B14527">
              <w:t xml:space="preserve"> WP</w:t>
            </w:r>
          </w:p>
        </w:tc>
        <w:tc>
          <w:tcPr>
            <w:tcW w:w="1274" w:type="pct"/>
            <w:vAlign w:val="center"/>
          </w:tcPr>
          <w:p w:rsidR="007B3221" w:rsidRPr="00B14527" w:rsidRDefault="007B3221" w:rsidP="007B3221">
            <w:r w:rsidRPr="00B14527">
              <w:t>LU, AP, AQ, EB, SE, Geo, HG, RH</w:t>
            </w:r>
            <w:r w:rsidR="00DE359B" w:rsidRPr="00B14527">
              <w:t xml:space="preserve"> </w:t>
            </w:r>
          </w:p>
        </w:tc>
      </w:tr>
      <w:tr w:rsidR="00156933" w:rsidRPr="00B14527" w:rsidTr="00BA1B3A">
        <w:tc>
          <w:tcPr>
            <w:tcW w:w="407" w:type="pct"/>
            <w:vAlign w:val="center"/>
          </w:tcPr>
          <w:p w:rsidR="007B3221" w:rsidRPr="00B14527" w:rsidRDefault="007B3221" w:rsidP="007B3221">
            <w:pPr>
              <w:pStyle w:val="ListParagraph"/>
              <w:numPr>
                <w:ilvl w:val="0"/>
                <w:numId w:val="1"/>
              </w:numPr>
              <w:jc w:val="center"/>
            </w:pPr>
          </w:p>
        </w:tc>
        <w:tc>
          <w:tcPr>
            <w:tcW w:w="1370" w:type="pct"/>
            <w:vAlign w:val="center"/>
          </w:tcPr>
          <w:p w:rsidR="00101F17" w:rsidRDefault="007B3221" w:rsidP="00EA72A8">
            <w:r w:rsidRPr="00B14527">
              <w:t xml:space="preserve">Building and large construction, </w:t>
            </w:r>
          </w:p>
          <w:p w:rsidR="007B3221" w:rsidRPr="00B14527" w:rsidRDefault="00EA72A8" w:rsidP="00EA72A8">
            <w:r w:rsidRPr="00B14527">
              <w:t>T</w:t>
            </w:r>
            <w:r w:rsidR="007B3221" w:rsidRPr="00B14527">
              <w:t>ownship and area development</w:t>
            </w:r>
          </w:p>
        </w:tc>
        <w:tc>
          <w:tcPr>
            <w:tcW w:w="1077" w:type="pct"/>
            <w:vAlign w:val="center"/>
          </w:tcPr>
          <w:p w:rsidR="007B3221" w:rsidRPr="00B14527" w:rsidRDefault="007B3221" w:rsidP="007B3221">
            <w:r w:rsidRPr="00B14527">
              <w:t>38, 39</w:t>
            </w:r>
          </w:p>
        </w:tc>
        <w:tc>
          <w:tcPr>
            <w:tcW w:w="872" w:type="pct"/>
            <w:vAlign w:val="center"/>
          </w:tcPr>
          <w:p w:rsidR="007B3221" w:rsidRPr="00B14527" w:rsidRDefault="007B3221" w:rsidP="007B3221">
            <w:r w:rsidRPr="00B14527">
              <w:t>WP, SW</w:t>
            </w:r>
            <w:r w:rsidR="00F136C8" w:rsidRPr="00B14527">
              <w:rPr>
                <w:vertAlign w:val="superscript"/>
              </w:rPr>
              <w:t>5</w:t>
            </w:r>
          </w:p>
        </w:tc>
        <w:tc>
          <w:tcPr>
            <w:tcW w:w="1274" w:type="pct"/>
            <w:vAlign w:val="center"/>
          </w:tcPr>
          <w:p w:rsidR="007B3221" w:rsidRPr="00B14527" w:rsidRDefault="007B3221" w:rsidP="007B3221">
            <w:r w:rsidRPr="00B14527">
              <w:t>LU, AP, Noise, EB, SE, HG, SC</w:t>
            </w:r>
          </w:p>
        </w:tc>
      </w:tr>
      <w:tr w:rsidR="00B14527" w:rsidRPr="00B14527" w:rsidTr="00BA1B3A">
        <w:tc>
          <w:tcPr>
            <w:tcW w:w="5000" w:type="pct"/>
            <w:gridSpan w:val="5"/>
            <w:vAlign w:val="center"/>
          </w:tcPr>
          <w:p w:rsidR="007B3221" w:rsidRPr="00B14527" w:rsidRDefault="007B3221" w:rsidP="00156933">
            <w:r w:rsidRPr="00B14527">
              <w:t xml:space="preserve">Note: 1. For EIAs related to captive townships, SW will be a significant FA </w:t>
            </w:r>
          </w:p>
          <w:p w:rsidR="00237E4F" w:rsidRPr="00B14527" w:rsidRDefault="00FA41E1" w:rsidP="00156933">
            <w:r w:rsidRPr="00B14527">
              <w:t xml:space="preserve">           </w:t>
            </w:r>
            <w:r w:rsidR="007B3221" w:rsidRPr="00B14527">
              <w:t>2. For Cat B2 projects, EB and SE can be empanelled</w:t>
            </w:r>
          </w:p>
          <w:p w:rsidR="00EC6DF4" w:rsidRPr="00B14527" w:rsidRDefault="00EC6DF4" w:rsidP="00156933">
            <w:r w:rsidRPr="00B14527">
              <w:t xml:space="preserve">           3. </w:t>
            </w:r>
            <w:r w:rsidRPr="00B14527">
              <w:rPr>
                <w:sz w:val="32"/>
                <w:szCs w:val="32"/>
                <w:vertAlign w:val="superscript"/>
              </w:rPr>
              <w:t>1-5</w:t>
            </w:r>
            <w:r w:rsidRPr="00B14527">
              <w:t xml:space="preserve">Ref. Clarifications to Version 3 of the Scheme dated Dec 27, 2016 and </w:t>
            </w:r>
            <w:r w:rsidRPr="00B14527">
              <w:rPr>
                <w:sz w:val="32"/>
                <w:szCs w:val="32"/>
                <w:vertAlign w:val="superscript"/>
              </w:rPr>
              <w:t>6-8</w:t>
            </w:r>
            <w:r w:rsidRPr="00B14527">
              <w:rPr>
                <w:b/>
              </w:rPr>
              <w:t xml:space="preserve"> </w:t>
            </w:r>
            <w:r w:rsidRPr="00B14527">
              <w:t>dated Oct 03, 2017</w:t>
            </w:r>
          </w:p>
          <w:p w:rsidR="00121F43" w:rsidRPr="00B14527" w:rsidRDefault="00121F43" w:rsidP="00156933">
            <w:pPr>
              <w:rPr>
                <w:sz w:val="10"/>
              </w:rPr>
            </w:pPr>
          </w:p>
          <w:p w:rsidR="00105A1C" w:rsidRPr="00B14527" w:rsidRDefault="00105A1C" w:rsidP="00156933">
            <w:pPr>
              <w:jc w:val="both"/>
              <w:rPr>
                <w:b/>
              </w:rPr>
            </w:pPr>
            <w:r w:rsidRPr="00B14527">
              <w:rPr>
                <w:b/>
                <w:sz w:val="32"/>
                <w:szCs w:val="32"/>
                <w:vertAlign w:val="superscript"/>
              </w:rPr>
              <w:t>1</w:t>
            </w:r>
            <w:r w:rsidRPr="00B14527">
              <w:rPr>
                <w:b/>
              </w:rPr>
              <w:t>Group 1</w:t>
            </w:r>
            <w:r w:rsidR="009D47BF" w:rsidRPr="00B14527">
              <w:rPr>
                <w:b/>
              </w:rPr>
              <w:t xml:space="preserve"> and </w:t>
            </w:r>
            <w:r w:rsidR="003A43C1" w:rsidRPr="00B14527">
              <w:rPr>
                <w:b/>
              </w:rPr>
              <w:t>3</w:t>
            </w:r>
            <w:r w:rsidRPr="00B14527">
              <w:rPr>
                <w:b/>
              </w:rPr>
              <w:t xml:space="preserve">: </w:t>
            </w:r>
            <w:r w:rsidR="00B413F9" w:rsidRPr="00B14527">
              <w:t xml:space="preserve">In </w:t>
            </w:r>
            <w:r w:rsidR="00541DF8" w:rsidRPr="00B14527">
              <w:t>line</w:t>
            </w:r>
            <w:r w:rsidR="00057342" w:rsidRPr="00B14527">
              <w:t xml:space="preserve"> </w:t>
            </w:r>
            <w:r w:rsidR="00B413F9" w:rsidRPr="00B14527">
              <w:t>with the MoEFCC Notifications on Solid Waste Management 2016</w:t>
            </w:r>
            <w:r w:rsidR="00AC3F7E" w:rsidRPr="00B14527">
              <w:t>. In QCI-NABET EIA Scheme</w:t>
            </w:r>
            <w:r w:rsidR="001012C5" w:rsidRPr="00B14527">
              <w:t xml:space="preserve">, </w:t>
            </w:r>
            <w:r w:rsidR="00B413F9" w:rsidRPr="00B14527">
              <w:t xml:space="preserve">ISW </w:t>
            </w:r>
            <w:r w:rsidR="00AC3F7E" w:rsidRPr="00B14527">
              <w:t xml:space="preserve">has been </w:t>
            </w:r>
            <w:r w:rsidR="00B413F9" w:rsidRPr="00B14527">
              <w:t>merged with HW.</w:t>
            </w:r>
          </w:p>
          <w:p w:rsidR="00121F43" w:rsidRPr="00B14527" w:rsidRDefault="00AA473F" w:rsidP="00156933">
            <w:pPr>
              <w:jc w:val="both"/>
            </w:pPr>
            <w:r w:rsidRPr="00B14527">
              <w:rPr>
                <w:b/>
                <w:sz w:val="32"/>
                <w:szCs w:val="32"/>
                <w:vertAlign w:val="superscript"/>
              </w:rPr>
              <w:t>2</w:t>
            </w:r>
            <w:r w:rsidR="00121F43" w:rsidRPr="00B14527">
              <w:rPr>
                <w:b/>
              </w:rPr>
              <w:t xml:space="preserve">Group 2: </w:t>
            </w:r>
            <w:r w:rsidR="00B8710A" w:rsidRPr="00B14527">
              <w:t>A</w:t>
            </w:r>
            <w:r w:rsidR="00121F43" w:rsidRPr="00B14527">
              <w:t xml:space="preserve">n </w:t>
            </w:r>
            <w:r w:rsidR="00B8710A" w:rsidRPr="00B14527">
              <w:t xml:space="preserve">FAE meeting the </w:t>
            </w:r>
            <w:r w:rsidR="00121F43" w:rsidRPr="00B14527">
              <w:t xml:space="preserve">requirement of ISW </w:t>
            </w:r>
            <w:r w:rsidR="00B8710A" w:rsidRPr="00B14527">
              <w:t>(out of HW)</w:t>
            </w:r>
            <w:r w:rsidR="00121F43" w:rsidRPr="00B14527">
              <w:t xml:space="preserve"> </w:t>
            </w:r>
            <w:r w:rsidR="00B8710A" w:rsidRPr="00B14527">
              <w:t>shall be adequate</w:t>
            </w:r>
            <w:r w:rsidR="00121F43" w:rsidRPr="00B14527">
              <w:t>.</w:t>
            </w:r>
          </w:p>
          <w:p w:rsidR="00AA473F" w:rsidRPr="00B14527" w:rsidRDefault="00AA473F" w:rsidP="00156933">
            <w:pPr>
              <w:jc w:val="both"/>
              <w:rPr>
                <w:b/>
              </w:rPr>
            </w:pPr>
            <w:r w:rsidRPr="00B14527">
              <w:rPr>
                <w:b/>
                <w:sz w:val="32"/>
                <w:szCs w:val="32"/>
                <w:vertAlign w:val="superscript"/>
              </w:rPr>
              <w:t>3</w:t>
            </w:r>
            <w:r w:rsidRPr="00B14527">
              <w:rPr>
                <w:b/>
              </w:rPr>
              <w:t xml:space="preserve">Group 4: </w:t>
            </w:r>
            <w:r w:rsidR="00EA4659" w:rsidRPr="00B14527">
              <w:t xml:space="preserve">Refer note </w:t>
            </w:r>
            <w:r w:rsidR="00EA4659" w:rsidRPr="00B14527">
              <w:rPr>
                <w:vertAlign w:val="superscript"/>
              </w:rPr>
              <w:t>1</w:t>
            </w:r>
            <w:r w:rsidR="00EA4659" w:rsidRPr="00B14527">
              <w:t>above</w:t>
            </w:r>
            <w:r w:rsidR="00773398" w:rsidRPr="00B14527">
              <w:t>.</w:t>
            </w:r>
          </w:p>
          <w:p w:rsidR="004D751B" w:rsidRPr="00B14527" w:rsidRDefault="002F5808" w:rsidP="00156933">
            <w:pPr>
              <w:jc w:val="both"/>
              <w:rPr>
                <w:b/>
              </w:rPr>
            </w:pPr>
            <w:r w:rsidRPr="00B14527">
              <w:rPr>
                <w:b/>
                <w:sz w:val="32"/>
                <w:szCs w:val="32"/>
                <w:vertAlign w:val="superscript"/>
              </w:rPr>
              <w:t>4</w:t>
            </w:r>
            <w:r w:rsidR="00B93412" w:rsidRPr="00B14527">
              <w:rPr>
                <w:b/>
              </w:rPr>
              <w:t>Group 6</w:t>
            </w:r>
            <w:r w:rsidR="00984413" w:rsidRPr="00B14527">
              <w:rPr>
                <w:b/>
              </w:rPr>
              <w:t xml:space="preserve"> (32A)</w:t>
            </w:r>
            <w:r w:rsidR="004D751B" w:rsidRPr="00B14527">
              <w:rPr>
                <w:b/>
              </w:rPr>
              <w:t xml:space="preserve">: </w:t>
            </w:r>
            <w:r w:rsidR="00D7516A" w:rsidRPr="00B14527">
              <w:t xml:space="preserve">In </w:t>
            </w:r>
            <w:r w:rsidR="00BC5116" w:rsidRPr="00B14527">
              <w:t>line</w:t>
            </w:r>
            <w:r w:rsidR="00057342" w:rsidRPr="00B14527">
              <w:t xml:space="preserve"> </w:t>
            </w:r>
            <w:r w:rsidR="00D7516A" w:rsidRPr="00B14527">
              <w:t>with MoEFCC Notification on B</w:t>
            </w:r>
            <w:r w:rsidR="00CB7676" w:rsidRPr="00B14527">
              <w:t>io-</w:t>
            </w:r>
            <w:r w:rsidR="00D7516A" w:rsidRPr="00B14527">
              <w:t>M</w:t>
            </w:r>
            <w:r w:rsidR="00CB7676" w:rsidRPr="00B14527">
              <w:t xml:space="preserve">edical </w:t>
            </w:r>
            <w:r w:rsidR="00D7516A" w:rsidRPr="00B14527">
              <w:t>W</w:t>
            </w:r>
            <w:r w:rsidR="00CB7676" w:rsidRPr="00B14527">
              <w:t xml:space="preserve">aste </w:t>
            </w:r>
            <w:r w:rsidR="00D7516A" w:rsidRPr="00B14527">
              <w:t>T</w:t>
            </w:r>
            <w:r w:rsidR="00CB7676" w:rsidRPr="00B14527">
              <w:t xml:space="preserve">reatment </w:t>
            </w:r>
            <w:r w:rsidR="00D7516A" w:rsidRPr="00B14527">
              <w:t>F</w:t>
            </w:r>
            <w:r w:rsidR="00CB7676" w:rsidRPr="00B14527">
              <w:t>acilities</w:t>
            </w:r>
            <w:r w:rsidR="00D7516A" w:rsidRPr="00B14527">
              <w:t xml:space="preserve"> </w:t>
            </w:r>
            <w:r w:rsidR="00CB7676" w:rsidRPr="00B14527">
              <w:t xml:space="preserve">April 17, </w:t>
            </w:r>
            <w:r w:rsidR="00D7516A" w:rsidRPr="00B14527">
              <w:t>201</w:t>
            </w:r>
            <w:r w:rsidR="00CB7676" w:rsidRPr="00B14527">
              <w:t xml:space="preserve">5. </w:t>
            </w:r>
          </w:p>
          <w:p w:rsidR="00F136C8" w:rsidRPr="00B14527" w:rsidRDefault="00F136C8" w:rsidP="00156933">
            <w:pPr>
              <w:jc w:val="both"/>
            </w:pPr>
            <w:r w:rsidRPr="00B14527">
              <w:rPr>
                <w:b/>
                <w:sz w:val="32"/>
                <w:szCs w:val="32"/>
                <w:vertAlign w:val="superscript"/>
              </w:rPr>
              <w:t>5</w:t>
            </w:r>
            <w:r w:rsidRPr="00B14527">
              <w:rPr>
                <w:b/>
              </w:rPr>
              <w:t xml:space="preserve">Group 7: </w:t>
            </w:r>
            <w:r w:rsidR="003106CB" w:rsidRPr="00B14527">
              <w:t xml:space="preserve">Refer note </w:t>
            </w:r>
            <w:r w:rsidR="003106CB" w:rsidRPr="00B14527">
              <w:rPr>
                <w:vertAlign w:val="superscript"/>
              </w:rPr>
              <w:t>1</w:t>
            </w:r>
            <w:r w:rsidR="003106CB" w:rsidRPr="00B14527">
              <w:t>above</w:t>
            </w:r>
            <w:r w:rsidRPr="00B14527">
              <w:t xml:space="preserve">. </w:t>
            </w:r>
            <w:r w:rsidR="00F83723" w:rsidRPr="00B14527">
              <w:t xml:space="preserve">Nomenclature </w:t>
            </w:r>
            <w:r w:rsidRPr="00B14527">
              <w:t xml:space="preserve">MSW will </w:t>
            </w:r>
            <w:r w:rsidR="00797A7E" w:rsidRPr="00B14527">
              <w:t xml:space="preserve">be </w:t>
            </w:r>
            <w:r w:rsidRPr="00B14527">
              <w:t>replace</w:t>
            </w:r>
            <w:r w:rsidR="00797A7E" w:rsidRPr="00B14527">
              <w:t>d by</w:t>
            </w:r>
            <w:r w:rsidRPr="00B14527">
              <w:t xml:space="preserve"> </w:t>
            </w:r>
            <w:r w:rsidR="00797A7E" w:rsidRPr="00B14527">
              <w:t xml:space="preserve">SW </w:t>
            </w:r>
            <w:r w:rsidRPr="00B14527">
              <w:t>(Solid Waste including C&amp;D waste)</w:t>
            </w:r>
            <w:r w:rsidR="00F97945" w:rsidRPr="00B14527">
              <w:t xml:space="preserve">. </w:t>
            </w:r>
          </w:p>
          <w:p w:rsidR="00013BEC" w:rsidRPr="00B14527" w:rsidRDefault="007B728B" w:rsidP="00156933">
            <w:pPr>
              <w:jc w:val="both"/>
            </w:pPr>
            <w:r w:rsidRPr="00B14527">
              <w:rPr>
                <w:b/>
                <w:sz w:val="32"/>
                <w:szCs w:val="32"/>
                <w:vertAlign w:val="superscript"/>
              </w:rPr>
              <w:lastRenderedPageBreak/>
              <w:t>6</w:t>
            </w:r>
            <w:r w:rsidR="00A84924" w:rsidRPr="00B14527">
              <w:rPr>
                <w:b/>
              </w:rPr>
              <w:t>Group 1:</w:t>
            </w:r>
            <w:r w:rsidR="00EC6DF4" w:rsidRPr="00B14527">
              <w:rPr>
                <w:b/>
              </w:rPr>
              <w:t xml:space="preserve"> </w:t>
            </w:r>
            <w:r w:rsidR="00013BEC" w:rsidRPr="00B14527">
              <w:t>FA</w:t>
            </w:r>
            <w:r w:rsidR="00FD75CA" w:rsidRPr="00B14527">
              <w:t>E</w:t>
            </w:r>
            <w:r w:rsidR="00013BEC" w:rsidRPr="00B14527">
              <w:t xml:space="preserve">-AQ can be either In-house or Empanelled.  </w:t>
            </w:r>
          </w:p>
          <w:p w:rsidR="00FA7B1D" w:rsidRPr="00B14527" w:rsidRDefault="007A4DA5" w:rsidP="00156933">
            <w:pPr>
              <w:jc w:val="both"/>
            </w:pPr>
            <w:r w:rsidRPr="00B14527">
              <w:rPr>
                <w:b/>
                <w:sz w:val="32"/>
                <w:szCs w:val="32"/>
                <w:vertAlign w:val="superscript"/>
              </w:rPr>
              <w:t>7</w:t>
            </w:r>
            <w:r w:rsidR="00FA7B1D" w:rsidRPr="00B14527">
              <w:rPr>
                <w:b/>
              </w:rPr>
              <w:t>Group 2:</w:t>
            </w:r>
            <w:r w:rsidR="003B3D8C" w:rsidRPr="00B14527">
              <w:rPr>
                <w:b/>
              </w:rPr>
              <w:t xml:space="preserve"> </w:t>
            </w:r>
            <w:r w:rsidR="00B879C6" w:rsidRPr="00B14527">
              <w:t>FAE-</w:t>
            </w:r>
            <w:r w:rsidR="00EB70A7" w:rsidRPr="00B14527">
              <w:t xml:space="preserve">AQ for </w:t>
            </w:r>
            <w:r w:rsidR="00FA7B1D" w:rsidRPr="00B14527">
              <w:t>Sectors 4 (Power) and 9 (Cement)</w:t>
            </w:r>
            <w:r w:rsidR="00EB70A7" w:rsidRPr="00B14527">
              <w:t xml:space="preserve"> retained as I</w:t>
            </w:r>
            <w:r w:rsidR="00FA7B1D" w:rsidRPr="00B14527">
              <w:t xml:space="preserve">n-house </w:t>
            </w:r>
            <w:r w:rsidR="00EB70A7" w:rsidRPr="00B14527">
              <w:t xml:space="preserve">and </w:t>
            </w:r>
            <w:r w:rsidR="000B7032" w:rsidRPr="00B14527">
              <w:t xml:space="preserve">For </w:t>
            </w:r>
            <w:r w:rsidR="00EB70A7" w:rsidRPr="00B14527">
              <w:t xml:space="preserve">Sector </w:t>
            </w:r>
            <w:r w:rsidR="000B7032" w:rsidRPr="00B14527">
              <w:t>40 (iv)</w:t>
            </w:r>
            <w:r w:rsidR="00B00FF9" w:rsidRPr="00B14527">
              <w:t xml:space="preserve"> (Glass Ceramic) </w:t>
            </w:r>
            <w:r w:rsidR="00EB70A7" w:rsidRPr="00B14527">
              <w:t>FAE-AQ can be either In-house or Empanelled</w:t>
            </w:r>
            <w:r w:rsidR="00FA7B1D" w:rsidRPr="00B14527">
              <w:t>.</w:t>
            </w:r>
          </w:p>
          <w:p w:rsidR="00121F43" w:rsidRPr="00B14527" w:rsidRDefault="00151138" w:rsidP="00156933">
            <w:pPr>
              <w:jc w:val="both"/>
            </w:pPr>
            <w:r w:rsidRPr="00B14527">
              <w:rPr>
                <w:b/>
                <w:sz w:val="32"/>
                <w:szCs w:val="32"/>
                <w:vertAlign w:val="superscript"/>
              </w:rPr>
              <w:t>8</w:t>
            </w:r>
            <w:r w:rsidR="001D4F2B" w:rsidRPr="00B14527">
              <w:rPr>
                <w:b/>
              </w:rPr>
              <w:t xml:space="preserve">Sector </w:t>
            </w:r>
            <w:r w:rsidR="00E74FCC" w:rsidRPr="00B14527">
              <w:rPr>
                <w:b/>
              </w:rPr>
              <w:t xml:space="preserve">1 - </w:t>
            </w:r>
            <w:r w:rsidR="001D4F2B" w:rsidRPr="00B14527">
              <w:rPr>
                <w:b/>
              </w:rPr>
              <w:t xml:space="preserve">Mining (Group 3), Sector </w:t>
            </w:r>
            <w:r w:rsidR="00E74FCC" w:rsidRPr="00B14527">
              <w:rPr>
                <w:b/>
              </w:rPr>
              <w:t>29-</w:t>
            </w:r>
            <w:r w:rsidR="001D4F2B" w:rsidRPr="00B14527">
              <w:rPr>
                <w:b/>
              </w:rPr>
              <w:t>Airports (Group 5),</w:t>
            </w:r>
            <w:r w:rsidR="00DD17F5" w:rsidRPr="00B14527">
              <w:rPr>
                <w:b/>
              </w:rPr>
              <w:t xml:space="preserve"> </w:t>
            </w:r>
            <w:r w:rsidR="001D4F2B" w:rsidRPr="00B14527">
              <w:rPr>
                <w:b/>
              </w:rPr>
              <w:t xml:space="preserve">Sector </w:t>
            </w:r>
            <w:r w:rsidR="00E74FCC" w:rsidRPr="00B14527">
              <w:rPr>
                <w:b/>
              </w:rPr>
              <w:t>34-</w:t>
            </w:r>
            <w:r w:rsidR="007B728B" w:rsidRPr="00B14527">
              <w:rPr>
                <w:b/>
              </w:rPr>
              <w:t>Highways (Group 5)</w:t>
            </w:r>
            <w:r w:rsidR="001D4F2B" w:rsidRPr="00B14527">
              <w:rPr>
                <w:b/>
              </w:rPr>
              <w:t>:</w:t>
            </w:r>
            <w:r w:rsidR="00EC6DF4" w:rsidRPr="00B14527">
              <w:rPr>
                <w:b/>
              </w:rPr>
              <w:t xml:space="preserve"> </w:t>
            </w:r>
            <w:r w:rsidR="00013BEC" w:rsidRPr="00B14527">
              <w:t xml:space="preserve">Functional Area Vibration will be required only for </w:t>
            </w:r>
            <w:r w:rsidR="00E74FCC" w:rsidRPr="00B14527">
              <w:t xml:space="preserve">these </w:t>
            </w:r>
            <w:r w:rsidR="00013BEC" w:rsidRPr="00B14527">
              <w:t>vibration intensive Sectors</w:t>
            </w:r>
            <w:r w:rsidR="00E74FCC" w:rsidRPr="00B14527">
              <w:t>.</w:t>
            </w:r>
          </w:p>
        </w:tc>
      </w:tr>
    </w:tbl>
    <w:p w:rsidR="00352704" w:rsidRPr="007B3221" w:rsidRDefault="00352704" w:rsidP="007B3221"/>
    <w:sectPr w:rsidR="00352704" w:rsidRPr="007B3221" w:rsidSect="005B7D21">
      <w:headerReference w:type="even" r:id="rId8"/>
      <w:headerReference w:type="default" r:id="rId9"/>
      <w:footerReference w:type="even" r:id="rId10"/>
      <w:footerReference w:type="default" r:id="rId11"/>
      <w:headerReference w:type="first" r:id="rId12"/>
      <w:footerReference w:type="first" r:id="rId13"/>
      <w:pgSz w:w="11906" w:h="16838"/>
      <w:pgMar w:top="1418" w:right="1135"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AC" w:rsidRDefault="009E0AAC" w:rsidP="0092733C">
      <w:pPr>
        <w:spacing w:after="0" w:line="240" w:lineRule="auto"/>
      </w:pPr>
      <w:r>
        <w:separator/>
      </w:r>
    </w:p>
  </w:endnote>
  <w:endnote w:type="continuationSeparator" w:id="0">
    <w:p w:rsidR="009E0AAC" w:rsidRDefault="009E0AAC" w:rsidP="0092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01" w:rsidRDefault="008E0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10046"/>
      <w:gridCol w:w="529"/>
    </w:tblGrid>
    <w:tr w:rsidR="0092733C" w:rsidTr="005000D8">
      <w:trPr>
        <w:jc w:val="right"/>
      </w:trPr>
      <w:tc>
        <w:tcPr>
          <w:tcW w:w="4795" w:type="dxa"/>
          <w:vAlign w:val="center"/>
        </w:tcPr>
        <w:sdt>
          <w:sdtPr>
            <w:rPr>
              <w:sz w:val="20"/>
              <w:szCs w:val="20"/>
            </w:rPr>
            <w:alias w:val="Author"/>
            <w:tag w:val=""/>
            <w:id w:val="1534539408"/>
            <w:placeholder>
              <w:docPart w:val="83AC116F11714715BED88857806B6FDA"/>
            </w:placeholder>
            <w:dataBinding w:prefixMappings="xmlns:ns0='http://purl.org/dc/elements/1.1/' xmlns:ns1='http://schemas.openxmlformats.org/package/2006/metadata/core-properties' " w:xpath="/ns1:coreProperties[1]/ns0:creator[1]" w:storeItemID="{6C3C8BC8-F283-45AE-878A-BAB7291924A1}"/>
            <w:text/>
          </w:sdtPr>
          <w:sdtEndPr/>
          <w:sdtContent>
            <w:p w:rsidR="0092733C" w:rsidRDefault="00D318B6" w:rsidP="00D318B6">
              <w:pPr>
                <w:pStyle w:val="Header"/>
                <w:jc w:val="right"/>
                <w:rPr>
                  <w:caps/>
                  <w:color w:val="000000" w:themeColor="text1"/>
                </w:rPr>
              </w:pPr>
              <w:r w:rsidRPr="00D318B6">
                <w:rPr>
                  <w:sz w:val="20"/>
                  <w:szCs w:val="20"/>
                </w:rPr>
                <w:t>Sector wise requirement of functional area</w:t>
              </w:r>
              <w:r w:rsidR="008E0201">
                <w:rPr>
                  <w:sz w:val="20"/>
                  <w:szCs w:val="20"/>
                </w:rPr>
                <w:t>s</w:t>
              </w:r>
              <w:r w:rsidRPr="00D318B6">
                <w:rPr>
                  <w:sz w:val="20"/>
                  <w:szCs w:val="20"/>
                </w:rPr>
                <w:t xml:space="preserve">- Version 3, Rev </w:t>
              </w:r>
              <w:r>
                <w:rPr>
                  <w:sz w:val="20"/>
                  <w:szCs w:val="20"/>
                </w:rPr>
                <w:t>1</w:t>
              </w:r>
              <w:r w:rsidRPr="00D318B6">
                <w:rPr>
                  <w:sz w:val="20"/>
                  <w:szCs w:val="20"/>
                </w:rPr>
                <w:t xml:space="preserve">, </w:t>
              </w:r>
              <w:r>
                <w:rPr>
                  <w:sz w:val="20"/>
                  <w:szCs w:val="20"/>
                </w:rPr>
                <w:t xml:space="preserve">Dec </w:t>
              </w:r>
              <w:r w:rsidRPr="00D318B6">
                <w:rPr>
                  <w:sz w:val="20"/>
                  <w:szCs w:val="20"/>
                </w:rPr>
                <w:t xml:space="preserve"> 2017</w:t>
              </w:r>
            </w:p>
          </w:sdtContent>
        </w:sdt>
      </w:tc>
      <w:tc>
        <w:tcPr>
          <w:tcW w:w="250" w:type="pct"/>
          <w:shd w:val="clear" w:color="auto" w:fill="C0504D" w:themeFill="accent2"/>
          <w:vAlign w:val="center"/>
        </w:tcPr>
        <w:p w:rsidR="0092733C" w:rsidRDefault="0092733C" w:rsidP="005000D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E0201">
            <w:rPr>
              <w:noProof/>
              <w:color w:val="FFFFFF" w:themeColor="background1"/>
            </w:rPr>
            <w:t>2</w:t>
          </w:r>
          <w:r>
            <w:rPr>
              <w:noProof/>
              <w:color w:val="FFFFFF" w:themeColor="background1"/>
            </w:rPr>
            <w:fldChar w:fldCharType="end"/>
          </w:r>
        </w:p>
      </w:tc>
    </w:tr>
  </w:tbl>
  <w:p w:rsidR="0092733C" w:rsidRDefault="0092733C" w:rsidP="0092733C">
    <w:pPr>
      <w:pStyle w:val="Footer"/>
    </w:pPr>
  </w:p>
  <w:p w:rsidR="0092733C" w:rsidRDefault="00927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01" w:rsidRDefault="008E0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AC" w:rsidRDefault="009E0AAC" w:rsidP="0092733C">
      <w:pPr>
        <w:spacing w:after="0" w:line="240" w:lineRule="auto"/>
      </w:pPr>
      <w:r>
        <w:separator/>
      </w:r>
    </w:p>
  </w:footnote>
  <w:footnote w:type="continuationSeparator" w:id="0">
    <w:p w:rsidR="009E0AAC" w:rsidRDefault="009E0AAC" w:rsidP="00927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01" w:rsidRDefault="008E0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3C" w:rsidRDefault="0092733C" w:rsidP="00101F17">
    <w:pPr>
      <w:pStyle w:val="Header"/>
      <w:ind w:firstLine="709"/>
    </w:pPr>
    <w:r>
      <w:t>QCI-NABET Scheme for accreditation of EIA Consultant O</w:t>
    </w:r>
    <w:r w:rsidR="00D318B6">
      <w:t>rganisations: Version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01" w:rsidRDefault="008E0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6C50"/>
    <w:multiLevelType w:val="hybridMultilevel"/>
    <w:tmpl w:val="F2CC1F78"/>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97"/>
    <w:rsid w:val="00007AF5"/>
    <w:rsid w:val="00013BEC"/>
    <w:rsid w:val="00045A85"/>
    <w:rsid w:val="00057342"/>
    <w:rsid w:val="0006728E"/>
    <w:rsid w:val="000A4A73"/>
    <w:rsid w:val="000A57D1"/>
    <w:rsid w:val="000B7032"/>
    <w:rsid w:val="000C5E4D"/>
    <w:rsid w:val="000D1235"/>
    <w:rsid w:val="001012C5"/>
    <w:rsid w:val="00101F17"/>
    <w:rsid w:val="00105A1C"/>
    <w:rsid w:val="001138D2"/>
    <w:rsid w:val="00121F43"/>
    <w:rsid w:val="0014363A"/>
    <w:rsid w:val="00151138"/>
    <w:rsid w:val="00156933"/>
    <w:rsid w:val="00163D9A"/>
    <w:rsid w:val="001756C6"/>
    <w:rsid w:val="001A19B7"/>
    <w:rsid w:val="001A6A55"/>
    <w:rsid w:val="001D2997"/>
    <w:rsid w:val="001D4F2B"/>
    <w:rsid w:val="001E02B2"/>
    <w:rsid w:val="002125E0"/>
    <w:rsid w:val="00215926"/>
    <w:rsid w:val="00237E4F"/>
    <w:rsid w:val="00244058"/>
    <w:rsid w:val="002513B1"/>
    <w:rsid w:val="00254485"/>
    <w:rsid w:val="00264C7E"/>
    <w:rsid w:val="002A1E38"/>
    <w:rsid w:val="002B58F3"/>
    <w:rsid w:val="002C0658"/>
    <w:rsid w:val="002C0930"/>
    <w:rsid w:val="002E2AC0"/>
    <w:rsid w:val="002F5808"/>
    <w:rsid w:val="003106CB"/>
    <w:rsid w:val="00312B12"/>
    <w:rsid w:val="00345F77"/>
    <w:rsid w:val="00352704"/>
    <w:rsid w:val="00374646"/>
    <w:rsid w:val="00376703"/>
    <w:rsid w:val="003A43C1"/>
    <w:rsid w:val="003B3D8C"/>
    <w:rsid w:val="003C6BD9"/>
    <w:rsid w:val="003D05F3"/>
    <w:rsid w:val="003D1FA8"/>
    <w:rsid w:val="0040454C"/>
    <w:rsid w:val="00411CEB"/>
    <w:rsid w:val="004345BD"/>
    <w:rsid w:val="004358A7"/>
    <w:rsid w:val="00440115"/>
    <w:rsid w:val="00444211"/>
    <w:rsid w:val="00447384"/>
    <w:rsid w:val="00463958"/>
    <w:rsid w:val="00480D9F"/>
    <w:rsid w:val="00490E4D"/>
    <w:rsid w:val="00497107"/>
    <w:rsid w:val="004D751B"/>
    <w:rsid w:val="0050638B"/>
    <w:rsid w:val="00541DF8"/>
    <w:rsid w:val="00553771"/>
    <w:rsid w:val="005B7D21"/>
    <w:rsid w:val="005D529F"/>
    <w:rsid w:val="005F049C"/>
    <w:rsid w:val="0063582A"/>
    <w:rsid w:val="00645216"/>
    <w:rsid w:val="0064569D"/>
    <w:rsid w:val="00653078"/>
    <w:rsid w:val="0065455E"/>
    <w:rsid w:val="00660789"/>
    <w:rsid w:val="006A389D"/>
    <w:rsid w:val="006A6C9C"/>
    <w:rsid w:val="006E016A"/>
    <w:rsid w:val="006E2331"/>
    <w:rsid w:val="00701F8D"/>
    <w:rsid w:val="00733A6E"/>
    <w:rsid w:val="00773398"/>
    <w:rsid w:val="00777169"/>
    <w:rsid w:val="00781117"/>
    <w:rsid w:val="00797A7E"/>
    <w:rsid w:val="007A003B"/>
    <w:rsid w:val="007A4DA5"/>
    <w:rsid w:val="007B3221"/>
    <w:rsid w:val="007B728B"/>
    <w:rsid w:val="007E7B1F"/>
    <w:rsid w:val="00802C0C"/>
    <w:rsid w:val="008063E8"/>
    <w:rsid w:val="0081779C"/>
    <w:rsid w:val="00836E3A"/>
    <w:rsid w:val="0087303A"/>
    <w:rsid w:val="00887252"/>
    <w:rsid w:val="008A2595"/>
    <w:rsid w:val="008D1B64"/>
    <w:rsid w:val="008E0201"/>
    <w:rsid w:val="008E175A"/>
    <w:rsid w:val="0092733C"/>
    <w:rsid w:val="00941E63"/>
    <w:rsid w:val="00984413"/>
    <w:rsid w:val="009D47BF"/>
    <w:rsid w:val="009E0AAC"/>
    <w:rsid w:val="00A16557"/>
    <w:rsid w:val="00A2534A"/>
    <w:rsid w:val="00A322B0"/>
    <w:rsid w:val="00A60DED"/>
    <w:rsid w:val="00A649E3"/>
    <w:rsid w:val="00A77BF9"/>
    <w:rsid w:val="00A84924"/>
    <w:rsid w:val="00A91492"/>
    <w:rsid w:val="00AA473F"/>
    <w:rsid w:val="00AC3F7E"/>
    <w:rsid w:val="00AD4069"/>
    <w:rsid w:val="00AE407E"/>
    <w:rsid w:val="00B00FF9"/>
    <w:rsid w:val="00B033CE"/>
    <w:rsid w:val="00B1002C"/>
    <w:rsid w:val="00B14527"/>
    <w:rsid w:val="00B413F9"/>
    <w:rsid w:val="00B435FE"/>
    <w:rsid w:val="00B513F6"/>
    <w:rsid w:val="00B60C31"/>
    <w:rsid w:val="00B669B3"/>
    <w:rsid w:val="00B8710A"/>
    <w:rsid w:val="00B879C6"/>
    <w:rsid w:val="00B93412"/>
    <w:rsid w:val="00BA1B3A"/>
    <w:rsid w:val="00BC5116"/>
    <w:rsid w:val="00BE68C5"/>
    <w:rsid w:val="00C04869"/>
    <w:rsid w:val="00C4036C"/>
    <w:rsid w:val="00C76DFA"/>
    <w:rsid w:val="00C81346"/>
    <w:rsid w:val="00C925CD"/>
    <w:rsid w:val="00C95565"/>
    <w:rsid w:val="00CB7676"/>
    <w:rsid w:val="00CC7B07"/>
    <w:rsid w:val="00CD0C3C"/>
    <w:rsid w:val="00D318B6"/>
    <w:rsid w:val="00D31BBE"/>
    <w:rsid w:val="00D46E1F"/>
    <w:rsid w:val="00D73BEC"/>
    <w:rsid w:val="00D7516A"/>
    <w:rsid w:val="00D76309"/>
    <w:rsid w:val="00D80B9B"/>
    <w:rsid w:val="00D956E2"/>
    <w:rsid w:val="00DA6DC3"/>
    <w:rsid w:val="00DB1073"/>
    <w:rsid w:val="00DD17F5"/>
    <w:rsid w:val="00DE359B"/>
    <w:rsid w:val="00E11D09"/>
    <w:rsid w:val="00E424B1"/>
    <w:rsid w:val="00E74FCC"/>
    <w:rsid w:val="00E936AF"/>
    <w:rsid w:val="00E95530"/>
    <w:rsid w:val="00E970A7"/>
    <w:rsid w:val="00EA12A7"/>
    <w:rsid w:val="00EA4659"/>
    <w:rsid w:val="00EA72A8"/>
    <w:rsid w:val="00EB70A7"/>
    <w:rsid w:val="00EC6DF4"/>
    <w:rsid w:val="00F04455"/>
    <w:rsid w:val="00F136C8"/>
    <w:rsid w:val="00F144F2"/>
    <w:rsid w:val="00F41EA8"/>
    <w:rsid w:val="00F77EA7"/>
    <w:rsid w:val="00F83723"/>
    <w:rsid w:val="00F97945"/>
    <w:rsid w:val="00FA3CBD"/>
    <w:rsid w:val="00FA41E1"/>
    <w:rsid w:val="00FA503A"/>
    <w:rsid w:val="00FA7B1D"/>
    <w:rsid w:val="00FB59D5"/>
    <w:rsid w:val="00FD75CA"/>
    <w:rsid w:val="00FF10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4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F14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65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4F2"/>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F144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F144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144F2"/>
    <w:rPr>
      <w:color w:val="0000FF"/>
      <w:u w:val="single"/>
    </w:rPr>
  </w:style>
  <w:style w:type="character" w:styleId="Strong">
    <w:name w:val="Strong"/>
    <w:basedOn w:val="DefaultParagraphFont"/>
    <w:uiPriority w:val="22"/>
    <w:qFormat/>
    <w:rsid w:val="00F144F2"/>
    <w:rPr>
      <w:b/>
      <w:bCs/>
    </w:rPr>
  </w:style>
  <w:style w:type="character" w:styleId="Emphasis">
    <w:name w:val="Emphasis"/>
    <w:basedOn w:val="DefaultParagraphFont"/>
    <w:uiPriority w:val="20"/>
    <w:qFormat/>
    <w:rsid w:val="00F144F2"/>
    <w:rPr>
      <w:i/>
      <w:iCs/>
    </w:rPr>
  </w:style>
  <w:style w:type="character" w:customStyle="1" w:styleId="Heading3Char">
    <w:name w:val="Heading 3 Char"/>
    <w:basedOn w:val="DefaultParagraphFont"/>
    <w:link w:val="Heading3"/>
    <w:uiPriority w:val="9"/>
    <w:rsid w:val="00A16557"/>
    <w:rPr>
      <w:rFonts w:asciiTheme="majorHAnsi" w:eastAsiaTheme="majorEastAsia" w:hAnsiTheme="majorHAnsi" w:cstheme="majorBidi"/>
      <w:color w:val="243F60" w:themeColor="accent1" w:themeShade="7F"/>
      <w:sz w:val="24"/>
      <w:szCs w:val="24"/>
    </w:rPr>
  </w:style>
  <w:style w:type="character" w:customStyle="1" w:styleId="Title1">
    <w:name w:val="Title1"/>
    <w:basedOn w:val="DefaultParagraphFont"/>
    <w:rsid w:val="00A16557"/>
  </w:style>
  <w:style w:type="character" w:customStyle="1" w:styleId="apple-converted-space">
    <w:name w:val="apple-converted-space"/>
    <w:basedOn w:val="DefaultParagraphFont"/>
    <w:rsid w:val="00A16557"/>
  </w:style>
  <w:style w:type="table" w:styleId="TableGrid">
    <w:name w:val="Table Grid"/>
    <w:basedOn w:val="TableNormal"/>
    <w:uiPriority w:val="59"/>
    <w:rsid w:val="007B3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221"/>
    <w:pPr>
      <w:ind w:left="720"/>
      <w:contextualSpacing/>
    </w:pPr>
  </w:style>
  <w:style w:type="paragraph" w:styleId="Header">
    <w:name w:val="header"/>
    <w:basedOn w:val="Normal"/>
    <w:link w:val="HeaderChar"/>
    <w:uiPriority w:val="99"/>
    <w:unhideWhenUsed/>
    <w:rsid w:val="00927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3C"/>
  </w:style>
  <w:style w:type="paragraph" w:styleId="Footer">
    <w:name w:val="footer"/>
    <w:basedOn w:val="Normal"/>
    <w:link w:val="FooterChar"/>
    <w:uiPriority w:val="99"/>
    <w:unhideWhenUsed/>
    <w:rsid w:val="00927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3C"/>
  </w:style>
  <w:style w:type="paragraph" w:styleId="BodyText">
    <w:name w:val="Body Text"/>
    <w:basedOn w:val="Normal"/>
    <w:link w:val="BodyTextChar"/>
    <w:uiPriority w:val="99"/>
    <w:rsid w:val="0092733C"/>
    <w:pPr>
      <w:suppressAutoHyphens/>
      <w:autoSpaceDE w:val="0"/>
      <w:autoSpaceDN w:val="0"/>
      <w:adjustRightInd w:val="0"/>
      <w:spacing w:after="170" w:line="340" w:lineRule="atLeast"/>
      <w:jc w:val="both"/>
      <w:textAlignment w:val="center"/>
    </w:pPr>
    <w:rPr>
      <w:rFonts w:ascii="Calibri" w:hAnsi="Calibri" w:cs="Calibri"/>
      <w:color w:val="000000"/>
      <w:sz w:val="24"/>
      <w:szCs w:val="24"/>
      <w:lang w:val="en-GB"/>
    </w:rPr>
  </w:style>
  <w:style w:type="character" w:customStyle="1" w:styleId="BodyTextChar">
    <w:name w:val="Body Text Char"/>
    <w:basedOn w:val="DefaultParagraphFont"/>
    <w:link w:val="BodyText"/>
    <w:uiPriority w:val="99"/>
    <w:rsid w:val="0092733C"/>
    <w:rPr>
      <w:rFonts w:ascii="Calibri" w:hAnsi="Calibri" w:cs="Calibri"/>
      <w:color w:val="000000"/>
      <w:sz w:val="24"/>
      <w:szCs w:val="24"/>
      <w:lang w:val="en-GB"/>
    </w:rPr>
  </w:style>
  <w:style w:type="character" w:customStyle="1" w:styleId="Bold">
    <w:name w:val="Bold"/>
    <w:uiPriority w:val="99"/>
    <w:rsid w:val="0092733C"/>
    <w:rPr>
      <w:b/>
      <w:bCs/>
    </w:rPr>
  </w:style>
  <w:style w:type="paragraph" w:styleId="BalloonText">
    <w:name w:val="Balloon Text"/>
    <w:basedOn w:val="Normal"/>
    <w:link w:val="BalloonTextChar"/>
    <w:uiPriority w:val="99"/>
    <w:semiHidden/>
    <w:unhideWhenUsed/>
    <w:rsid w:val="00927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4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F14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65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4F2"/>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F144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F144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144F2"/>
    <w:rPr>
      <w:color w:val="0000FF"/>
      <w:u w:val="single"/>
    </w:rPr>
  </w:style>
  <w:style w:type="character" w:styleId="Strong">
    <w:name w:val="Strong"/>
    <w:basedOn w:val="DefaultParagraphFont"/>
    <w:uiPriority w:val="22"/>
    <w:qFormat/>
    <w:rsid w:val="00F144F2"/>
    <w:rPr>
      <w:b/>
      <w:bCs/>
    </w:rPr>
  </w:style>
  <w:style w:type="character" w:styleId="Emphasis">
    <w:name w:val="Emphasis"/>
    <w:basedOn w:val="DefaultParagraphFont"/>
    <w:uiPriority w:val="20"/>
    <w:qFormat/>
    <w:rsid w:val="00F144F2"/>
    <w:rPr>
      <w:i/>
      <w:iCs/>
    </w:rPr>
  </w:style>
  <w:style w:type="character" w:customStyle="1" w:styleId="Heading3Char">
    <w:name w:val="Heading 3 Char"/>
    <w:basedOn w:val="DefaultParagraphFont"/>
    <w:link w:val="Heading3"/>
    <w:uiPriority w:val="9"/>
    <w:rsid w:val="00A16557"/>
    <w:rPr>
      <w:rFonts w:asciiTheme="majorHAnsi" w:eastAsiaTheme="majorEastAsia" w:hAnsiTheme="majorHAnsi" w:cstheme="majorBidi"/>
      <w:color w:val="243F60" w:themeColor="accent1" w:themeShade="7F"/>
      <w:sz w:val="24"/>
      <w:szCs w:val="24"/>
    </w:rPr>
  </w:style>
  <w:style w:type="character" w:customStyle="1" w:styleId="Title1">
    <w:name w:val="Title1"/>
    <w:basedOn w:val="DefaultParagraphFont"/>
    <w:rsid w:val="00A16557"/>
  </w:style>
  <w:style w:type="character" w:customStyle="1" w:styleId="apple-converted-space">
    <w:name w:val="apple-converted-space"/>
    <w:basedOn w:val="DefaultParagraphFont"/>
    <w:rsid w:val="00A16557"/>
  </w:style>
  <w:style w:type="table" w:styleId="TableGrid">
    <w:name w:val="Table Grid"/>
    <w:basedOn w:val="TableNormal"/>
    <w:uiPriority w:val="59"/>
    <w:rsid w:val="007B3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3221"/>
    <w:pPr>
      <w:ind w:left="720"/>
      <w:contextualSpacing/>
    </w:pPr>
  </w:style>
  <w:style w:type="paragraph" w:styleId="Header">
    <w:name w:val="header"/>
    <w:basedOn w:val="Normal"/>
    <w:link w:val="HeaderChar"/>
    <w:uiPriority w:val="99"/>
    <w:unhideWhenUsed/>
    <w:rsid w:val="00927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3C"/>
  </w:style>
  <w:style w:type="paragraph" w:styleId="Footer">
    <w:name w:val="footer"/>
    <w:basedOn w:val="Normal"/>
    <w:link w:val="FooterChar"/>
    <w:uiPriority w:val="99"/>
    <w:unhideWhenUsed/>
    <w:rsid w:val="00927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3C"/>
  </w:style>
  <w:style w:type="paragraph" w:styleId="BodyText">
    <w:name w:val="Body Text"/>
    <w:basedOn w:val="Normal"/>
    <w:link w:val="BodyTextChar"/>
    <w:uiPriority w:val="99"/>
    <w:rsid w:val="0092733C"/>
    <w:pPr>
      <w:suppressAutoHyphens/>
      <w:autoSpaceDE w:val="0"/>
      <w:autoSpaceDN w:val="0"/>
      <w:adjustRightInd w:val="0"/>
      <w:spacing w:after="170" w:line="340" w:lineRule="atLeast"/>
      <w:jc w:val="both"/>
      <w:textAlignment w:val="center"/>
    </w:pPr>
    <w:rPr>
      <w:rFonts w:ascii="Calibri" w:hAnsi="Calibri" w:cs="Calibri"/>
      <w:color w:val="000000"/>
      <w:sz w:val="24"/>
      <w:szCs w:val="24"/>
      <w:lang w:val="en-GB"/>
    </w:rPr>
  </w:style>
  <w:style w:type="character" w:customStyle="1" w:styleId="BodyTextChar">
    <w:name w:val="Body Text Char"/>
    <w:basedOn w:val="DefaultParagraphFont"/>
    <w:link w:val="BodyText"/>
    <w:uiPriority w:val="99"/>
    <w:rsid w:val="0092733C"/>
    <w:rPr>
      <w:rFonts w:ascii="Calibri" w:hAnsi="Calibri" w:cs="Calibri"/>
      <w:color w:val="000000"/>
      <w:sz w:val="24"/>
      <w:szCs w:val="24"/>
      <w:lang w:val="en-GB"/>
    </w:rPr>
  </w:style>
  <w:style w:type="character" w:customStyle="1" w:styleId="Bold">
    <w:name w:val="Bold"/>
    <w:uiPriority w:val="99"/>
    <w:rsid w:val="0092733C"/>
    <w:rPr>
      <w:b/>
      <w:bCs/>
    </w:rPr>
  </w:style>
  <w:style w:type="paragraph" w:styleId="BalloonText">
    <w:name w:val="Balloon Text"/>
    <w:basedOn w:val="Normal"/>
    <w:link w:val="BalloonTextChar"/>
    <w:uiPriority w:val="99"/>
    <w:semiHidden/>
    <w:unhideWhenUsed/>
    <w:rsid w:val="00927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393">
      <w:bodyDiv w:val="1"/>
      <w:marLeft w:val="0"/>
      <w:marRight w:val="0"/>
      <w:marTop w:val="0"/>
      <w:marBottom w:val="0"/>
      <w:divBdr>
        <w:top w:val="none" w:sz="0" w:space="0" w:color="auto"/>
        <w:left w:val="none" w:sz="0" w:space="0" w:color="auto"/>
        <w:bottom w:val="none" w:sz="0" w:space="0" w:color="auto"/>
        <w:right w:val="none" w:sz="0" w:space="0" w:color="auto"/>
      </w:divBdr>
    </w:div>
    <w:div w:id="60981209">
      <w:bodyDiv w:val="1"/>
      <w:marLeft w:val="0"/>
      <w:marRight w:val="0"/>
      <w:marTop w:val="0"/>
      <w:marBottom w:val="0"/>
      <w:divBdr>
        <w:top w:val="none" w:sz="0" w:space="0" w:color="auto"/>
        <w:left w:val="none" w:sz="0" w:space="0" w:color="auto"/>
        <w:bottom w:val="none" w:sz="0" w:space="0" w:color="auto"/>
        <w:right w:val="none" w:sz="0" w:space="0" w:color="auto"/>
      </w:divBdr>
    </w:div>
    <w:div w:id="425076663">
      <w:bodyDiv w:val="1"/>
      <w:marLeft w:val="0"/>
      <w:marRight w:val="0"/>
      <w:marTop w:val="0"/>
      <w:marBottom w:val="0"/>
      <w:divBdr>
        <w:top w:val="none" w:sz="0" w:space="0" w:color="auto"/>
        <w:left w:val="none" w:sz="0" w:space="0" w:color="auto"/>
        <w:bottom w:val="none" w:sz="0" w:space="0" w:color="auto"/>
        <w:right w:val="none" w:sz="0" w:space="0" w:color="auto"/>
      </w:divBdr>
      <w:divsChild>
        <w:div w:id="1242254839">
          <w:marLeft w:val="0"/>
          <w:marRight w:val="0"/>
          <w:marTop w:val="0"/>
          <w:marBottom w:val="0"/>
          <w:divBdr>
            <w:top w:val="none" w:sz="0" w:space="0" w:color="auto"/>
            <w:left w:val="none" w:sz="0" w:space="0" w:color="auto"/>
            <w:bottom w:val="none" w:sz="0" w:space="0" w:color="auto"/>
            <w:right w:val="none" w:sz="0" w:space="0" w:color="auto"/>
          </w:divBdr>
          <w:divsChild>
            <w:div w:id="11757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9210">
      <w:bodyDiv w:val="1"/>
      <w:marLeft w:val="0"/>
      <w:marRight w:val="0"/>
      <w:marTop w:val="0"/>
      <w:marBottom w:val="0"/>
      <w:divBdr>
        <w:top w:val="none" w:sz="0" w:space="0" w:color="auto"/>
        <w:left w:val="none" w:sz="0" w:space="0" w:color="auto"/>
        <w:bottom w:val="none" w:sz="0" w:space="0" w:color="auto"/>
        <w:right w:val="none" w:sz="0" w:space="0" w:color="auto"/>
      </w:divBdr>
    </w:div>
    <w:div w:id="1036083919">
      <w:bodyDiv w:val="1"/>
      <w:marLeft w:val="0"/>
      <w:marRight w:val="0"/>
      <w:marTop w:val="0"/>
      <w:marBottom w:val="0"/>
      <w:divBdr>
        <w:top w:val="none" w:sz="0" w:space="0" w:color="auto"/>
        <w:left w:val="none" w:sz="0" w:space="0" w:color="auto"/>
        <w:bottom w:val="none" w:sz="0" w:space="0" w:color="auto"/>
        <w:right w:val="none" w:sz="0" w:space="0" w:color="auto"/>
      </w:divBdr>
    </w:div>
    <w:div w:id="13289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AC116F11714715BED88857806B6FDA"/>
        <w:category>
          <w:name w:val="General"/>
          <w:gallery w:val="placeholder"/>
        </w:category>
        <w:types>
          <w:type w:val="bbPlcHdr"/>
        </w:types>
        <w:behaviors>
          <w:behavior w:val="content"/>
        </w:behaviors>
        <w:guid w:val="{96AF5A86-046D-4FD5-8E22-F1F6A7F99303}"/>
      </w:docPartPr>
      <w:docPartBody>
        <w:p w:rsidR="002D4156" w:rsidRDefault="00074D14" w:rsidP="00074D14">
          <w:pPr>
            <w:pStyle w:val="83AC116F11714715BED88857806B6FD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14"/>
    <w:rsid w:val="00074D14"/>
    <w:rsid w:val="002D4156"/>
    <w:rsid w:val="00A361E6"/>
    <w:rsid w:val="00BA0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AC116F11714715BED88857806B6FDA">
    <w:name w:val="83AC116F11714715BED88857806B6FDA"/>
    <w:rsid w:val="00074D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AC116F11714715BED88857806B6FDA">
    <w:name w:val="83AC116F11714715BED88857806B6FDA"/>
    <w:rsid w:val="00074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Sector wise requirement of functional areas- Version 3, Rev 1, Dec  2017</dc:creator>
  <cp:lastModifiedBy>Pawan1</cp:lastModifiedBy>
  <cp:revision>133</cp:revision>
  <cp:lastPrinted>2017-12-27T03:52:00Z</cp:lastPrinted>
  <dcterms:created xsi:type="dcterms:W3CDTF">2017-11-10T05:07:00Z</dcterms:created>
  <dcterms:modified xsi:type="dcterms:W3CDTF">2017-12-27T04:14:00Z</dcterms:modified>
</cp:coreProperties>
</file>